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预算绩效评价自评报告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ascii="仿宋" w:hAnsi="仿宋" w:eastAsia="仿宋" w:cs="仿宋"/>
          <w:b/>
          <w:color w:val="000000"/>
          <w:sz w:val="36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季度）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办案（业务）经费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额尔古纳市人民检察院部门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2023 年 8月 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</w:t>
      </w:r>
      <w:r>
        <w:rPr>
          <w:rFonts w:ascii="方正小标宋简体" w:hAnsi="方正小标宋简体" w:eastAsia="方正小标宋简体" w:cs="方正小标宋简体"/>
          <w:sz w:val="44"/>
        </w:rPr>
        <w:t>年办案（业务）经费项目绩效评价自评报告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left="0" w:leftChars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为机关日常管理及办公办案经费支出做保障，保障法律监督及充分行使检察职权。</w:t>
      </w:r>
    </w:p>
    <w:p>
      <w:pPr>
        <w:numPr>
          <w:ilvl w:val="0"/>
          <w:numId w:val="0"/>
        </w:numPr>
        <w:spacing w:before="188" w:line="204" w:lineRule="auto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</w:t>
      </w:r>
      <w:r>
        <w:rPr>
          <w:rFonts w:hint="eastAsia" w:ascii="仿宋" w:hAnsi="仿宋" w:eastAsia="仿宋" w:cs="仿宋"/>
          <w:spacing w:val="3"/>
          <w:sz w:val="30"/>
          <w:szCs w:val="30"/>
          <w:lang w:val="en-US" w:eastAsia="zh-CN"/>
        </w:rPr>
        <w:t>二</w:t>
      </w:r>
      <w:r>
        <w:rPr>
          <w:rFonts w:ascii="仿宋" w:hAnsi="仿宋" w:eastAsia="仿宋" w:cs="仿宋"/>
          <w:spacing w:val="3"/>
          <w:sz w:val="30"/>
          <w:szCs w:val="30"/>
        </w:rPr>
        <w:t>）</w:t>
      </w: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firstLine="632" w:firstLineChars="20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目标1：认真办理自治区及上级院交办我院受理的各项案件，做到案件清晰。目标2：提升我院干警形象、素质、能力、提升检察院公信力。目标3：经费保障到位，解决干警后顾之忧，提高办案效率，完成各项任务。目标4：通过办案（业务）经费的应用，更好的服务群众。目标5：确保其他检察业务的顺利开展。</w:t>
      </w:r>
    </w:p>
    <w:p>
      <w:pPr>
        <w:numPr>
          <w:ilvl w:val="0"/>
          <w:numId w:val="0"/>
        </w:numPr>
        <w:spacing w:before="188" w:line="204" w:lineRule="auto"/>
        <w:ind w:firstLine="632" w:firstLineChars="20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我院2022年办案（业务）经费项目全年执行率为100%，保障了我院各类案件所需要的各项经费，经费保障充足，解决干警后顾之忧，能够更好的服务于人民群众。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0"/>
        </w:numPr>
        <w:spacing w:before="188" w:line="204" w:lineRule="auto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</w:t>
      </w: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一是严格落实《预算法》及自治区财政厅关于绩效管理工作的有关规定，进一步规范财政资金的管理，强化我单位支出绩效理念，提升部门责任意识，提高我单位资金使用效益；二是通过绩效评价总结工作效益，进行项目修正和进一步推进预算绩效管理，有效提高我单位资金管理水平和资金的使用效益；三是提高财务管理水平，精打细算，合理管控，为经费向办案倾斜奠定基础。</w:t>
      </w:r>
    </w:p>
    <w:p>
      <w:pPr>
        <w:spacing w:before="189" w:line="204" w:lineRule="auto"/>
        <w:ind w:left="0" w:leftChars="0" w:firstLine="0" w:firstLineChars="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0" w:leftChars="0" w:firstLine="616" w:firstLineChars="20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137.00万元，其中：财政拨款137.00万元，其他资金0.00万元。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140.00万元，其中：财政拨款140.00万元，其他资金0.00万元。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140.00万元，其中：财政拨款140.00万元，其他资金0.00万元。</w:t>
      </w:r>
    </w:p>
    <w:p>
      <w:pPr>
        <w:numPr>
          <w:ilvl w:val="0"/>
          <w:numId w:val="0"/>
        </w:numPr>
        <w:spacing w:before="188" w:line="204" w:lineRule="auto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</w:t>
      </w: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both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我院本项目预算执行数140.00万元，预算完成率100%，本部门紧紧围绕年初制定的绩效目标，切实加强组织领导，落实工作责任，全面完成目标任务，我单位制订了有效的内部控制管理和经费支出控制方案，有较强的内控风险管理意识、各项经费支出得到了有效控制。保障了单位经费及正常运转、收支平衡。完成了全年项目执行的总目标，提升了财政资金使用效益，逐步实现了财务管理的规范化，经费保障精细化，资金支出透明化，为检察业务发展提供了有力支持。</w:t>
      </w:r>
    </w:p>
    <w:p>
      <w:pPr>
        <w:numPr>
          <w:ilvl w:val="0"/>
          <w:numId w:val="0"/>
        </w:numPr>
        <w:spacing w:before="189" w:line="204" w:lineRule="auto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</w:t>
      </w: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一是强化预算管理。按照量入为出、收支平衡的原则组织部门预算的编制，认真进行预算执行情况分析，预算的约束力进一步增强。二是着力增收节支。大力清理和压缩各项往来。严格执行《政府采购法》，规范采购程序。进一步完善公务用车、公务接待经费定额管理办法，狠抓勤俭节约，压缩公用经费支出，提高财政资金的使用效益，有效地节约财政资金。三是完善管理制度。严格执行预算外资金管理办法，不断提高核算、管理和服务水平，进一步加强了财务管理制度的执行力。四是加强监督检查。有计划地开展财务收支和部门预算执行情况检查。五是严把专项资金。严把专项资金支出，确保专项资金专款专用，实现不截留、不挤占、不挪用、不改变用途。本单位制订了多项部门管理制度，包括财务管理制度、固定资产管理制度、政府采购管理制度等，一系列的制度措施，使得我单位运行有效、工作流程有序，同时保障我单位工作透明、有效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1)审查调查次数，目标值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 w:cs="仿宋"/>
          <w:sz w:val="32"/>
        </w:rPr>
        <w:t>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362次，分值10，得分10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2)立案案件办结率，目标值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98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3)案件办理时效达标率，目标值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98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4)平均案件办案成本，目标值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0.89万元，分值10，得分8.9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5)案件预计挽回经济损失，目标值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85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1933.37万元，分值10，得分10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6)办理案件所带来的社会效益，目标值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97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90%，分值5，得分4.64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7)公益诉讼案件产生的生态效益，目标值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98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8)项目的可持续性，目标值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1年，分值10，得分10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9)群众的满意程度，目标值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97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99%，分值10，得分10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98.54分，等级为A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2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spacing w:line="620" w:lineRule="exact"/>
        <w:ind w:left="480" w:leftChars="2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 绩效目标和指标设置有待进一步优化，部分项目绩效目标设置不够合理，绩效目标未全面覆盖主要项目任务，个别绩效指标未体现项目预期，效益绩效指标设置不够明确、具体。</w:t>
      </w:r>
    </w:p>
    <w:p>
      <w:pPr>
        <w:numPr>
          <w:ilvl w:val="0"/>
          <w:numId w:val="2"/>
        </w:numPr>
        <w:spacing w:line="240" w:lineRule="auto"/>
        <w:ind w:left="24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numPr>
          <w:ilvl w:val="0"/>
          <w:numId w:val="0"/>
        </w:numPr>
        <w:spacing w:line="240" w:lineRule="auto"/>
        <w:ind w:left="24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 xml:space="preserve"> 1.财务制度未全面完善，需要建立健全单位财务制度，完善资金使用，切实提高财政资金使用效益。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0"/>
        </w:numPr>
        <w:spacing w:line="240" w:lineRule="auto"/>
        <w:ind w:leftChars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ind w:left="604" w:leftChars="0" w:hanging="604" w:hangingChars="20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一、加强领导、确保资金安全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单位领导高度重视，在部门预算的申报、资金的下达、部门预算的执行及项目后期的绩效评价过程中，凡属于“三重一大”的事项均通过集体研究通过。特别是在部门预算的执行过程中，高度重视预算的执行及执行过程对资金使用的监督和指导，确保项目资金使用合理、合规。</w:t>
      </w:r>
      <w:r>
        <w:rPr>
          <w:rFonts w:hint="default" w:ascii="仿宋" w:hAnsi="仿宋" w:eastAsia="仿宋" w:cs="仿宋"/>
          <w:spacing w:val="1"/>
          <w:sz w:val="30"/>
          <w:szCs w:val="30"/>
        </w:rPr>
        <w:cr/>
      </w:r>
      <w:r>
        <w:rPr>
          <w:rFonts w:hint="default" w:ascii="仿宋" w:hAnsi="仿宋" w:eastAsia="仿宋" w:cs="仿宋"/>
          <w:spacing w:val="1"/>
          <w:sz w:val="30"/>
          <w:szCs w:val="30"/>
        </w:rPr>
        <w:t>二、厉行节约、严控行政成本</w:t>
      </w:r>
      <w:r>
        <w:rPr>
          <w:rFonts w:hint="default" w:ascii="仿宋" w:hAnsi="仿宋" w:eastAsia="仿宋" w:cs="仿宋"/>
          <w:spacing w:val="1"/>
          <w:sz w:val="30"/>
          <w:szCs w:val="30"/>
        </w:rPr>
        <w:cr/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pacing w:val="1"/>
          <w:sz w:val="30"/>
          <w:szCs w:val="30"/>
        </w:rPr>
        <w:t>认真组织全体干部职工学习国家相关文件政策，将厉行节约、反对浪费作为机关作风建设的重要内容，通过宣传学习和财务审核审批程序的规范，机关干部能基本熟悉和领会各级单位、政府颁发相关文件精神，并已逐步形成了崇尚节约、厉行节约、反对浪费的机关文化。</w:t>
      </w:r>
    </w:p>
    <w:p>
      <w:pPr>
        <w:spacing w:before="189" w:line="204" w:lineRule="auto"/>
        <w:ind w:left="0" w:leftChars="0" w:firstLine="0" w:firstLineChars="0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.加强绩效管理培训，树牢预算绩效管理意识，加强预算绩效管理培训，及时把握政策要求，项目实施的绩效导向，从而提高预算绩效管理的约束力，加快建立全过程预算绩效管理链条，强化绩效目标管理。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 w:cs="仿宋"/>
          <w:sz w:val="32"/>
        </w:rPr>
        <w:t>.加强财务制度建设，学习先进院财务制度流程，完善资金使用，切实提高财政资金使用效益。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OWEwZDcwYjY3ODgxNmUyMGVlNTc4MDk3MGQxYjM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29C04BF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CC67F08"/>
    <w:rsid w:val="2DE23A3A"/>
    <w:rsid w:val="2E8E1287"/>
    <w:rsid w:val="300E3D77"/>
    <w:rsid w:val="30533016"/>
    <w:rsid w:val="30B80E03"/>
    <w:rsid w:val="31A7228A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2272</Words>
  <Characters>2403</Characters>
  <Lines>16</Lines>
  <Paragraphs>4</Paragraphs>
  <TotalTime>24</TotalTime>
  <ScaleCrop>false</ScaleCrop>
  <LinksUpToDate>false</LinksUpToDate>
  <CharactersWithSpaces>2423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2021-01-18T15:13:00Z</dcterms:created>
  <dc:creator>Administrator</dc:creator>
  <cp:lastModifiedBy>Administrator</cp:lastModifiedBy>
  <dcterms:modified xsi:type="dcterms:W3CDTF">2023-08-21T01:10:59Z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  <property fmtid="{D5CDD505-2E9C-101B-9397-08002B2CF9AE}" pid="3" name="ICV">
    <vt:lpwstr>5834B0E037474C16A8C77D90D7B6A5A6</vt:lpwstr>
  </property>
</Properties>
</file>